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0E2290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4B7B53" w:rsidRPr="004B7B53" w:rsidRDefault="00593828" w:rsidP="004B7B5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0A31">
        <w:rPr>
          <w:rFonts w:ascii="Times New Roman" w:hAnsi="Times New Roman"/>
          <w:color w:val="000000"/>
          <w:sz w:val="28"/>
          <w:szCs w:val="28"/>
          <w:lang w:eastAsia="en-US"/>
        </w:rPr>
        <w:tab/>
      </w:r>
      <w:r w:rsidRPr="004B7B53">
        <w:rPr>
          <w:rFonts w:ascii="Times New Roman" w:hAnsi="Times New Roman"/>
          <w:sz w:val="28"/>
          <w:szCs w:val="28"/>
        </w:rPr>
        <w:t>Доводим до Вашего сведения</w:t>
      </w:r>
      <w:r w:rsidR="0050503B" w:rsidRPr="004B7B53">
        <w:rPr>
          <w:rFonts w:ascii="Times New Roman" w:hAnsi="Times New Roman"/>
          <w:sz w:val="28"/>
          <w:szCs w:val="28"/>
        </w:rPr>
        <w:t xml:space="preserve">, что </w:t>
      </w:r>
      <w:r w:rsidR="004B7B53">
        <w:rPr>
          <w:rFonts w:ascii="Times New Roman" w:hAnsi="Times New Roman"/>
          <w:sz w:val="28"/>
          <w:szCs w:val="28"/>
        </w:rPr>
        <w:t>н</w:t>
      </w:r>
      <w:r w:rsidR="004B7B53" w:rsidRPr="004B7B53">
        <w:rPr>
          <w:rFonts w:ascii="Times New Roman" w:hAnsi="Times New Roman"/>
          <w:sz w:val="28"/>
          <w:szCs w:val="28"/>
        </w:rPr>
        <w:t>а территории Брянской области реализуется национальный проект «Малое и среднее предпринимательство и поддержка индивидуальной предпринимательской инициативы». В рамках реализации национального проекта Правительством Российской Федерации учрежден конкурс  «Экспортер года» для поощрения организаций и индивидуальных предпринимателей, достигших исключительных результатов в экспортной деятельности. Премия, вручаемая по итогам конкурса, является символом государственного признания заслуг экспортеров в укреплении национальной экономики и продвижении российской конкурентоспособной продукции на зарубежные рынки.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  <w:szCs w:val="28"/>
        </w:rPr>
      </w:pPr>
      <w:r w:rsidRPr="004B7B53">
        <w:rPr>
          <w:rFonts w:ascii="Times New Roman" w:hAnsi="Times New Roman"/>
          <w:sz w:val="28"/>
          <w:szCs w:val="28"/>
        </w:rPr>
        <w:t>Конкурс проводится при поддержке ВЭБ</w:t>
      </w:r>
      <w:proofErr w:type="gramStart"/>
      <w:r w:rsidRPr="004B7B53">
        <w:rPr>
          <w:rFonts w:ascii="Times New Roman" w:hAnsi="Times New Roman"/>
          <w:sz w:val="28"/>
          <w:szCs w:val="28"/>
        </w:rPr>
        <w:t>.Р</w:t>
      </w:r>
      <w:proofErr w:type="gramEnd"/>
      <w:r w:rsidRPr="004B7B53">
        <w:rPr>
          <w:rFonts w:ascii="Times New Roman" w:hAnsi="Times New Roman"/>
          <w:sz w:val="28"/>
          <w:szCs w:val="28"/>
        </w:rPr>
        <w:t xml:space="preserve">Ф, </w:t>
      </w:r>
      <w:proofErr w:type="spellStart"/>
      <w:r w:rsidRPr="004B7B53">
        <w:rPr>
          <w:rFonts w:ascii="Times New Roman" w:hAnsi="Times New Roman"/>
          <w:sz w:val="28"/>
          <w:szCs w:val="28"/>
        </w:rPr>
        <w:t>Минпромторга</w:t>
      </w:r>
      <w:proofErr w:type="spellEnd"/>
      <w:r w:rsidRPr="004B7B53">
        <w:rPr>
          <w:rFonts w:ascii="Times New Roman" w:hAnsi="Times New Roman"/>
          <w:sz w:val="28"/>
          <w:szCs w:val="28"/>
        </w:rPr>
        <w:t xml:space="preserve"> России, Минэкономразвития России, Минсельхоза России и </w:t>
      </w:r>
      <w:proofErr w:type="spellStart"/>
      <w:r w:rsidRPr="004B7B53">
        <w:rPr>
          <w:rFonts w:ascii="Times New Roman" w:hAnsi="Times New Roman"/>
          <w:sz w:val="28"/>
          <w:szCs w:val="28"/>
        </w:rPr>
        <w:t>Минкомсвязи</w:t>
      </w:r>
      <w:proofErr w:type="spellEnd"/>
      <w:r w:rsidRPr="004B7B53">
        <w:rPr>
          <w:rFonts w:ascii="Times New Roman" w:hAnsi="Times New Roman"/>
          <w:sz w:val="28"/>
          <w:szCs w:val="28"/>
        </w:rPr>
        <w:t xml:space="preserve"> России.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  <w:szCs w:val="28"/>
        </w:rPr>
      </w:pPr>
      <w:r w:rsidRPr="004B7B53">
        <w:rPr>
          <w:rFonts w:ascii="Times New Roman" w:hAnsi="Times New Roman"/>
          <w:sz w:val="28"/>
          <w:szCs w:val="28"/>
        </w:rPr>
        <w:t>Участие в конкурсе бесплатное. Подать заявку могут крупные компании, компании малого и среднего бизнеса и индивидуальные предприниматели. С каждым годом число участников конкурса «Экспортер года» стремительно растет: если в 2018 году в конкурсе приняло участие около 50 экспортеров, то в 2020 году их было уже более 1700.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  <w:szCs w:val="28"/>
        </w:rPr>
      </w:pPr>
      <w:r w:rsidRPr="004B7B53">
        <w:rPr>
          <w:rFonts w:ascii="Times New Roman" w:hAnsi="Times New Roman"/>
          <w:sz w:val="28"/>
          <w:szCs w:val="28"/>
        </w:rPr>
        <w:t>Премия вручается в следующих (как для МСП, так и для крупного бизнеса) отраслевых номинациях: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«Экспортер года в сфере промышленности»;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«Экспортер года в сфере агропромышленного комплекса»;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«Экспортер года в сфере услуг»;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«Экспортер года в сфере высоких технологий»;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«Трейдер года».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  <w:szCs w:val="28"/>
        </w:rPr>
      </w:pPr>
      <w:r w:rsidRPr="004B7B53">
        <w:rPr>
          <w:rFonts w:ascii="Times New Roman" w:hAnsi="Times New Roman"/>
          <w:sz w:val="28"/>
          <w:szCs w:val="28"/>
        </w:rPr>
        <w:t>Помимо этого, каждый соискатель премии может подать заявку на участие в номинациях, присуждаемых за быстрый рост экспортных показателей: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«Прорыв года» (для МСП);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•</w:t>
      </w:r>
      <w:r w:rsidRPr="004B7B53">
        <w:rPr>
          <w:rFonts w:ascii="Times New Roman" w:hAnsi="Times New Roman"/>
          <w:sz w:val="28"/>
          <w:szCs w:val="28"/>
        </w:rPr>
        <w:tab/>
        <w:t>«Новая география» (для крупного бизнеса).</w:t>
      </w:r>
    </w:p>
    <w:p w:rsidR="004B7B53" w:rsidRPr="004B7B53" w:rsidRDefault="004B7B53" w:rsidP="004B7B53">
      <w:pPr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>Заявки на участие в конкурсе принимаются по 15 июня 20221 года (включительно).</w:t>
      </w:r>
    </w:p>
    <w:p w:rsidR="004B7B53" w:rsidRPr="004B7B53" w:rsidRDefault="004B7B53" w:rsidP="004B7B53">
      <w:pPr>
        <w:spacing w:line="276" w:lineRule="auto"/>
        <w:ind w:firstLine="851"/>
        <w:jc w:val="both"/>
        <w:rPr>
          <w:rFonts w:ascii="Times New Roman" w:hAnsi="Times New Roman"/>
        </w:rPr>
      </w:pPr>
      <w:r w:rsidRPr="004B7B53">
        <w:rPr>
          <w:rFonts w:ascii="Times New Roman" w:hAnsi="Times New Roman"/>
          <w:sz w:val="28"/>
          <w:szCs w:val="28"/>
        </w:rPr>
        <w:t xml:space="preserve">Подать заявку на участие можно, заполнив электронную анкету на сайте Российского экспортного центра: </w:t>
      </w:r>
      <w:r w:rsidRPr="004B7B53">
        <w:rPr>
          <w:rFonts w:ascii="Times New Roman" w:hAnsi="Times New Roman"/>
          <w:color w:val="0000FF"/>
          <w:sz w:val="28"/>
          <w:szCs w:val="28"/>
          <w:u w:val="single"/>
        </w:rPr>
        <w:t>http://www.exportcenter.ru/awards?utm_term=d7</w:t>
      </w:r>
      <w:r w:rsidRPr="004B7B53">
        <w:rPr>
          <w:rFonts w:ascii="Times New Roman" w:hAnsi="Times New Roman"/>
          <w:sz w:val="28"/>
          <w:szCs w:val="28"/>
        </w:rPr>
        <w:t xml:space="preserve">. На начальном этапе у экспортеров будет запрашиваться только один документ – электронная копия Свидетельства о постановке на учет в налоговом органе (копия ИНН). </w:t>
      </w:r>
    </w:p>
    <w:p w:rsidR="00593828" w:rsidRPr="004B7B53" w:rsidRDefault="004B7B53" w:rsidP="004B7B53">
      <w:pPr>
        <w:ind w:firstLine="851"/>
        <w:jc w:val="both"/>
        <w:rPr>
          <w:rFonts w:ascii="Times New Roman" w:hAnsi="Times New Roman"/>
          <w:szCs w:val="28"/>
        </w:rPr>
      </w:pPr>
      <w:r w:rsidRPr="004B7B53">
        <w:rPr>
          <w:rFonts w:ascii="Times New Roman" w:hAnsi="Times New Roman"/>
          <w:sz w:val="28"/>
          <w:szCs w:val="28"/>
        </w:rPr>
        <w:t>Принять участие в конкурсе могут компании, у которых нет неисполненной обязанности по уплате налогов, сборов, страховых взносов, пеней и штрафов, просроченной задолженности перед бюджетом Российской Федерации. Не могут быть соискателями премии иностранные юридические лица, а также компании, которые учреждены юридическими лицами, в уставном капитале которых доля участия иностранных юридических лиц, зарегистрированных в офшорных зонах, превышает 50%.</w:t>
      </w:r>
      <w:bookmarkStart w:id="0" w:name="_GoBack"/>
      <w:bookmarkEnd w:id="0"/>
    </w:p>
    <w:sectPr w:rsidR="00593828" w:rsidRPr="004B7B53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B7B53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2195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3</cp:revision>
  <cp:lastPrinted>2021-02-18T12:23:00Z</cp:lastPrinted>
  <dcterms:created xsi:type="dcterms:W3CDTF">2021-05-26T06:37:00Z</dcterms:created>
  <dcterms:modified xsi:type="dcterms:W3CDTF">2021-05-26T06:40:00Z</dcterms:modified>
</cp:coreProperties>
</file>